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b w:val="1"/>
          <w:sz w:val="28"/>
          <w:szCs w:val="28"/>
          <w:u w:val="single"/>
          <w:rtl w:val="0"/>
        </w:rPr>
        <w:t xml:space="preserve">Lesson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Allison Meyer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Grade Level: 10th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Subject Area: Math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Materials Needed: Algebraic word problems. Easy Adjustable Clocks. Calculator. Whiteboard or smartboard and tools to write with.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10th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HS.SID.4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2nd Grade: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2.OA.4 Use addition to find the total number of objects arranged in rectangular arrays with</w:t>
        <w:br w:type="textWrapping"/>
        <w:t xml:space="preserve">up to 5 rows and up to 5 columns; write an equation to express the total as a sum</w:t>
        <w:br w:type="textWrapping"/>
        <w:t xml:space="preserve">of equal addends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students will find the appropriate functions to use when given an algebraic word problems.The students will also solve the word problem. The students must be able to use all four main functions on a calculator. The students will also know what repeated addition is. The students will be able to solve the algebraic word problem on their own without teacher assistance.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Learning Activities: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students will be solving the problems with their classmates aloud with minimal teacher assistance.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group work will keep the students active and engaged throughout the lesson.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use simplistic vocabulary so the students will fully understand what the question is asking.</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Throughout the lesson, I will draw pictures on the board to help them visually see what they will be multiplying or dividing.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 will also use the image of an analog clock to assist the students in finding the correct answer regarding questions that work on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Should the student have a visual impairment, I will have them seated closer to the front of the class and print an enlarged copy of any assignments.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students will have successfully met the standard and targeted objectives when they are able to complete all independent work and tests in this academic area independently and correctly. If a student has poor penmanship or is unable to see what he or she writes due to a vision impairment,  the worksheets and tests may be given orally. If reteaching is necessary, I will use different word problems and much more simplistic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Reflection: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gave the students plenty of time to think when I asked a question or when they were working on solving a problem. If I were to teach this lesson again, I would still keep the environment fun and yet centered around learning and staying energetic.I would also continue to ask them what labels they used and what they each got for an answer. However, should I teach this lesson again, I would have more back up teaching techniques to use in case the students did not understand the question initially. I would also pay more attention to the students’ body language in order to tell if they are engaged or not and I would use the same vocabulary consistently.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